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1280" w:lineRule="exact"/>
      </w:pPr>
      <w:r>
        <w:rPr>
          <w:rFonts w:ascii="Inter" w:hAnsi="Inter" w:cs="Inter" w:eastAsia="Inter"/>
          <w:b w:val="0"/>
          <w:i w:val="0"/>
          <w:color w:val="3C4043"/>
          <w:sz w:val="4"/>
          <w:u w:val="none"/>
        </w:rPr>
      </w:r>
    </w:p>
    <w:p>
      <w:pPr>
        <w:pBdr>
          <w:bottom w:val="single" w:sz="26" w:space="2" w:color="FBBC05"/>
        </w:pBdr>
        <w:spacing w:before="0" w:after="200"/>
        <w:ind w:right="8617"/>
      </w:pPr>
      <w:r>
        <w:rPr>
          <w:rFonts w:ascii="Inter" w:hAnsi="Inter" w:cs="Inter" w:eastAsia="Inter"/>
          <w:b w:val="0"/>
          <w:i w:val="0"/>
          <w:color w:val="3C4043"/>
          <w:sz w:val="4"/>
          <w:u w:val="none"/>
        </w:rPr>
      </w:r>
    </w:p>
    <w:p>
      <w:pPr>
        <w:spacing w:before="0" w:after="200" w:line="250" w:lineRule="auto"/>
      </w:pPr>
      <w:r>
        <w:rPr>
          <w:rFonts w:ascii="Inter" w:hAnsi="Inter" w:cs="Inter" w:eastAsia="Inter"/>
          <w:b/>
          <w:i w:val="0"/>
          <w:color w:val="202124"/>
          <w:sz w:val="72"/>
          <w:u w:val="none"/>
        </w:rPr>
        <w:t>Journal des décisions</w:t>
      </w:r>
    </w:p>
    <w:p>
      <w:pPr>
        <w:spacing w:before="0" w:after="200" w:line="264" w:lineRule="auto"/>
      </w:pPr>
      <w:r>
        <w:rPr>
          <w:rFonts w:ascii="Inter" w:hAnsi="Inter" w:cs="Inter" w:eastAsia="Inter"/>
          <w:b w:val="0"/>
          <w:i w:val="0"/>
          <w:color w:val="5F6368"/>
          <w:sz w:val="32"/>
          <w:u w:val="none"/>
        </w:rPr>
        <w:t xml:space="preserve">Supervision </w:t>
      </w:r>
      <w:r>
        <w:rPr>
          <w:rFonts w:ascii="Inter" w:hAnsi="Inter" w:cs="Inter" w:eastAsia="Inter"/>
          <w:b/>
          <w:i w:val="0"/>
          <w:color w:val="202124"/>
          <w:sz w:val="32"/>
          <w:u w:val="none"/>
        </w:rPr>
        <w:t>d'un agent IA</w:t>
      </w:r>
    </w:p>
    <w:p>
      <w:pPr>
        <w:spacing w:before="0" w:after="200" w:line="360" w:lineRule="auto"/>
      </w:pPr>
      <w:r>
        <w:rPr>
          <w:rFonts w:ascii="Inter" w:hAnsi="Inter" w:cs="Inter" w:eastAsia="Inter"/>
          <w:b w:val="0"/>
          <w:i w:val="0"/>
          <w:color w:val="5F6368"/>
          <w:sz w:val="23"/>
          <w:u w:val="none"/>
        </w:rPr>
        <w:t>Trace des actions significatives de l'agent et des validations humaines : qui a décidé quoi, quand, sur quelles données. Il sert à corriger l'agent, à répondre à une réclamation et à prouver la supervision.</w:t>
      </w:r>
    </w:p>
    <w:p>
      <w:pPr>
        <w:spacing w:before="0" w:after="0" w:line="3000" w:lineRule="exact"/>
      </w:pPr>
      <w:r>
        <w:rPr>
          <w:rFonts w:ascii="Inter" w:hAnsi="Inter" w:cs="Inter" w:eastAsia="Inter"/>
          <w:b w:val="0"/>
          <w:i w:val="0"/>
          <w:color w:val="3C4043"/>
          <w:sz w:val="4"/>
          <w:u w:val="none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411" w:type="dxa"/>
      </w:tblPr>
      <w:tblGrid>
        <w:gridCol w:w="3137"/>
        <w:gridCol w:w="3137"/>
        <w:gridCol w:w="3137"/>
      </w:tblGrid>
      <w:tr>
        <w:tc>
          <w:tcPr>
            <w:tcW w:type="dxa" w:w="4564"/>
            <w:tcBorders>
              <w:top w:val="single" w:sz="6" w:space="0" w:color="C7CCD1"/>
            </w:tcBorders>
            <w:tcMar>
              <w:top w:w="200" w:type="dxa"/>
              <w:start w:w="0" w:type="dxa"/>
              <w:bottom w:w="200" w:type="dxa"/>
              <w:end w:w="280" w:type="dxa"/>
            </w:tcMar>
            <w:vAlign w:val="top"/>
            <w:vAlign w:val="top"/>
          </w:tcPr>
          <w:p>
            <w:pPr>
              <w:spacing w:after="80" w:line="240" w:lineRule="auto"/>
            </w:pPr>
            <w:r/>
            <w:r>
              <w:rPr>
                <w:rFonts w:ascii="Inter" w:hAnsi="Inter" w:cs="Inter" w:eastAsia="Inter"/>
                <w:b w:val="0"/>
                <w:i w:val="0"/>
                <w:color w:val="FBBC05"/>
                <w:sz w:val="14"/>
                <w:u w:val="none"/>
              </w:rPr>
              <w:t xml:space="preserve">●  </w:t>
            </w:r>
            <w:r>
              <w:rPr>
                <w:rFonts w:ascii="Inter" w:hAnsi="Inter" w:cs="Inter" w:eastAsia="Inter"/>
                <w:b/>
                <w:i w:val="0"/>
                <w:color w:val="80868B"/>
                <w:sz w:val="16"/>
                <w:u w:val="none"/>
                <w:spacing w:val="14"/>
              </w:rPr>
              <w:t>CE QU'ON Y NOTE</w:t>
            </w:r>
          </w:p>
          <w:p>
            <w:pPr>
              <w:spacing w:before="40" w:after="80" w:line="252" w:lineRule="auto"/>
            </w:pPr>
            <w:r>
              <w:rPr>
                <w:rFonts w:ascii="Inter" w:hAnsi="Inter" w:cs="Inter" w:eastAsia="Inter"/>
                <w:b/>
                <w:i w:val="0"/>
                <w:color w:val="202124"/>
                <w:sz w:val="26"/>
                <w:u w:val="none"/>
              </w:rPr>
              <w:t>Actions significatives</w:t>
            </w:r>
          </w:p>
          <w:p>
            <w:pPr>
              <w:spacing w:before="0" w:after="0" w:line="336" w:lineRule="auto"/>
            </w:pPr>
            <w:r>
              <w:rPr>
                <w:rFonts w:ascii="Inter" w:hAnsi="Inter" w:cs="Inter" w:eastAsia="Inter"/>
                <w:b w:val="0"/>
                <w:i w:val="0"/>
                <w:color w:val="5F6368"/>
                <w:sz w:val="21"/>
                <w:u w:val="none"/>
              </w:rPr>
              <w:t>Envoi externe, modification d'une donnée, décision touchant un client, un salarié ou de l'argent.</w:t>
            </w:r>
          </w:p>
        </w:tc>
        <w:tc>
          <w:tcPr>
            <w:tcW w:type="dxa" w:w="283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/>
        </w:tc>
        <w:tc>
          <w:tcPr>
            <w:tcW w:type="dxa" w:w="4564"/>
            <w:tcBorders>
              <w:top w:val="single" w:sz="6" w:space="0" w:color="C7CCD1"/>
              <w:left w:val="single" w:sz="4" w:space="0" w:color="E3E6EA"/>
            </w:tcBorders>
            <w:tcMar>
              <w:top w:w="200" w:type="dxa"/>
              <w:start w:w="0" w:type="dxa"/>
              <w:bottom w:w="200" w:type="dxa"/>
              <w:end w:w="280" w:type="dxa"/>
            </w:tcMar>
            <w:vAlign w:val="top"/>
            <w:vAlign w:val="top"/>
          </w:tcPr>
          <w:p>
            <w:pPr>
              <w:spacing w:after="80" w:line="240" w:lineRule="auto"/>
            </w:pPr>
            <w:r/>
            <w:r>
              <w:rPr>
                <w:rFonts w:ascii="Inter" w:hAnsi="Inter" w:cs="Inter" w:eastAsia="Inter"/>
                <w:b w:val="0"/>
                <w:i w:val="0"/>
                <w:color w:val="EA4335"/>
                <w:sz w:val="14"/>
                <w:u w:val="none"/>
              </w:rPr>
              <w:t xml:space="preserve">●  </w:t>
            </w:r>
            <w:r>
              <w:rPr>
                <w:rFonts w:ascii="Inter" w:hAnsi="Inter" w:cs="Inter" w:eastAsia="Inter"/>
                <w:b/>
                <w:i w:val="0"/>
                <w:color w:val="80868B"/>
                <w:sz w:val="16"/>
                <w:u w:val="none"/>
                <w:spacing w:val="14"/>
              </w:rPr>
              <w:t>CE QU'ON N'Y NOTE PAS</w:t>
            </w:r>
          </w:p>
          <w:p>
            <w:pPr>
              <w:spacing w:before="40" w:after="80" w:line="252" w:lineRule="auto"/>
            </w:pPr>
            <w:r>
              <w:rPr>
                <w:rFonts w:ascii="Inter" w:hAnsi="Inter" w:cs="Inter" w:eastAsia="Inter"/>
                <w:b/>
                <w:i w:val="0"/>
                <w:color w:val="202124"/>
                <w:sz w:val="26"/>
                <w:u w:val="none"/>
              </w:rPr>
              <w:t>Le bruit</w:t>
            </w:r>
          </w:p>
          <w:p>
            <w:pPr>
              <w:spacing w:before="0" w:after="0" w:line="336" w:lineRule="auto"/>
            </w:pPr>
            <w:r>
              <w:rPr>
                <w:rFonts w:ascii="Inter" w:hAnsi="Inter" w:cs="Inter" w:eastAsia="Inter"/>
                <w:b w:val="0"/>
                <w:i w:val="0"/>
                <w:color w:val="5F6368"/>
                <w:sz w:val="21"/>
                <w:u w:val="none"/>
              </w:rPr>
              <w:t>Les lectures et brouillons internes : le journal technique de l'agent les garde déjà.</w:t>
            </w:r>
          </w:p>
        </w:tc>
      </w:tr>
    </w:tbl>
    <w:p>
      <w:pPr>
        <w:spacing w:before="0" w:after="0" w:line="160" w:lineRule="exact"/>
      </w:pPr>
      <w:r>
        <w:rPr>
          <w:rFonts w:ascii="Inter" w:hAnsi="Inter" w:cs="Inter" w:eastAsia="Inter"/>
          <w:b w:val="0"/>
          <w:i w:val="0"/>
          <w:color w:val="3C4043"/>
          <w:sz w:val="4"/>
          <w:u w:val="none"/>
        </w:rPr>
      </w:r>
    </w:p>
    <w:p>
      <w:pPr>
        <w:pBdr>
          <w:top w:val="single" w:sz="4" w:space="8" w:color="E3E6EA"/>
        </w:pBdr>
        <w:spacing w:before="160" w:after="0" w:line="360" w:lineRule="auto"/>
      </w:pPr>
      <w:r>
        <w:rPr>
          <w:rFonts w:ascii="Inter" w:hAnsi="Inter" w:cs="Inter" w:eastAsia="Inter"/>
          <w:b/>
          <w:i w:val="0"/>
          <w:color w:val="202124"/>
          <w:sz w:val="18"/>
          <w:u w:val="none"/>
        </w:rPr>
        <w:t xml:space="preserve">Version </w:t>
      </w:r>
      <w:r>
        <w:rPr>
          <w:rFonts w:ascii="Inter" w:hAnsi="Inter" w:cs="Inter" w:eastAsia="Inter"/>
          <w:b w:val="0"/>
          <w:i w:val="0"/>
          <w:color w:val="5F6368"/>
          <w:sz w:val="18"/>
          <w:u w:val="none"/>
        </w:rPr>
        <w:t>modèle du 6 octobre 2026</w:t>
      </w:r>
      <w:r>
        <w:rPr>
          <w:rFonts w:ascii="Inter" w:hAnsi="Inter" w:cs="Inter" w:eastAsia="Inter"/>
          <w:b w:val="0"/>
          <w:i w:val="0"/>
          <w:color w:val="C7CCD1"/>
          <w:sz w:val="18"/>
          <w:u w:val="none"/>
        </w:rPr>
        <w:t xml:space="preserve">    ·    </w:t>
      </w:r>
      <w:r>
        <w:rPr>
          <w:rFonts w:ascii="Inter" w:hAnsi="Inter" w:cs="Inter" w:eastAsia="Inter"/>
          <w:b/>
          <w:i w:val="0"/>
          <w:color w:val="202124"/>
          <w:sz w:val="18"/>
          <w:u w:val="none"/>
        </w:rPr>
        <w:t xml:space="preserve">Agent </w:t>
      </w:r>
      <w:r>
        <w:rPr>
          <w:rFonts w:ascii="Inter" w:hAnsi="Inter" w:cs="Inter" w:eastAsia="Inter"/>
          <w:b w:val="0"/>
          <w:i w:val="0"/>
          <w:color w:val="5F6368"/>
          <w:sz w:val="18"/>
          <w:u w:val="none"/>
        </w:rPr>
        <w:t>[nom de l'agent]</w:t>
      </w:r>
    </w:p>
    <w:p>
      <w:r>
        <w:br w:type="page"/>
      </w:r>
    </w:p>
    <w:p>
      <w:pPr>
        <w:pBdr>
          <w:top w:val="single" w:sz="12" w:space="8" w:color="202124"/>
        </w:pBdr>
        <w:keepNext/>
        <w:spacing w:before="320" w:after="160"/>
      </w:pPr>
      <w:r>
        <w:rPr>
          <w:rFonts w:ascii="Inter" w:hAnsi="Inter" w:cs="Inter" w:eastAsia="Inter"/>
          <w:b/>
          <w:i w:val="0"/>
          <w:color w:val="4285F4"/>
          <w:sz w:val="18"/>
          <w:u w:val="none"/>
          <w:spacing w:val="8"/>
        </w:rPr>
        <w:t xml:space="preserve">01  </w:t>
      </w:r>
      <w:r>
        <w:rPr>
          <w:rFonts w:ascii="Inter" w:hAnsi="Inter" w:cs="Inter" w:eastAsia="Inter"/>
          <w:b/>
          <w:i w:val="0"/>
          <w:color w:val="202124"/>
          <w:sz w:val="28"/>
          <w:u w:val="none"/>
        </w:rPr>
        <w:t>Règles de tenue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411" w:type="dxa"/>
      </w:tblPr>
      <w:tblGrid>
        <w:gridCol w:w="2551"/>
        <w:gridCol w:w="6860"/>
      </w:tblGrid>
      <w:tr>
        <w:tc>
          <w:tcPr>
            <w:tcW w:type="dxa" w:w="2551"/>
            <w:tcBorders>
              <w:bottom w:val="single" w:sz="4" w:space="0" w:color="E3E6EA"/>
            </w:tcBorders>
            <w:tcMar>
              <w:top w:w="140" w:type="dxa"/>
              <w:start w:w="0" w:type="dxa"/>
              <w:bottom w:w="140" w:type="dxa"/>
              <w:end w:w="120" w:type="dxa"/>
            </w:tcMar>
            <w:vAlign w:val="top"/>
          </w:tcPr>
          <w:p>
            <w:pPr>
              <w:spacing w:after="0" w:line="312" w:lineRule="auto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20"/>
                <w:u w:val="none"/>
              </w:rPr>
              <w:t>Qui écrit</w:t>
            </w:r>
          </w:p>
        </w:tc>
        <w:tc>
          <w:tcPr>
            <w:tcW w:type="dxa" w:w="6860"/>
            <w:tcBorders>
              <w:bottom w:val="single" w:sz="4" w:space="0" w:color="E3E6EA"/>
            </w:tcBorders>
            <w:tcMar>
              <w:top w:w="140" w:type="dxa"/>
              <w:start w:w="120" w:type="dxa"/>
              <w:bottom w:w="140" w:type="dxa"/>
              <w:end w:w="0" w:type="dxa"/>
            </w:tcMar>
            <w:vAlign w:val="top"/>
          </w:tcPr>
          <w:p>
            <w:pPr>
              <w:spacing w:after="0" w:line="324" w:lineRule="auto"/>
            </w:pPr>
            <w:r/>
            <w:r>
              <w:rPr>
                <w:rFonts w:ascii="Inter" w:hAnsi="Inter" w:cs="Inter" w:eastAsia="Inter"/>
                <w:b w:val="0"/>
                <w:i w:val="0"/>
                <w:color w:val="5F6368"/>
                <w:sz w:val="21"/>
                <w:u w:val="none"/>
              </w:rPr>
              <w:t>L'agent écrit automatiquement chaque action significative ; la personne qui valide complète sa colonne.</w:t>
            </w:r>
          </w:p>
        </w:tc>
      </w:tr>
      <w:tr>
        <w:tc>
          <w:tcPr>
            <w:tcW w:type="dxa" w:w="2551"/>
            <w:tcBorders>
              <w:bottom w:val="single" w:sz="4" w:space="0" w:color="E3E6EA"/>
            </w:tcBorders>
            <w:tcMar>
              <w:top w:w="140" w:type="dxa"/>
              <w:start w:w="0" w:type="dxa"/>
              <w:bottom w:w="140" w:type="dxa"/>
              <w:end w:w="120" w:type="dxa"/>
            </w:tcMar>
            <w:vAlign w:val="top"/>
          </w:tcPr>
          <w:p>
            <w:pPr>
              <w:spacing w:after="0" w:line="312" w:lineRule="auto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20"/>
                <w:u w:val="none"/>
              </w:rPr>
              <w:t>Conservation</w:t>
            </w:r>
          </w:p>
        </w:tc>
        <w:tc>
          <w:tcPr>
            <w:tcW w:type="dxa" w:w="6860"/>
            <w:tcBorders>
              <w:bottom w:val="single" w:sz="4" w:space="0" w:color="E3E6EA"/>
            </w:tcBorders>
            <w:tcMar>
              <w:top w:w="140" w:type="dxa"/>
              <w:start w:w="120" w:type="dxa"/>
              <w:bottom w:w="140" w:type="dxa"/>
              <w:end w:w="0" w:type="dxa"/>
            </w:tcMar>
            <w:vAlign w:val="top"/>
          </w:tcPr>
          <w:p>
            <w:pPr>
              <w:spacing w:after="0" w:line="324" w:lineRule="auto"/>
            </w:pPr>
            <w:r/>
            <w:r>
              <w:rPr>
                <w:rFonts w:ascii="Inter" w:hAnsi="Inter" w:cs="Inter" w:eastAsia="Inter"/>
                <w:b w:val="0"/>
                <w:i w:val="0"/>
                <w:color w:val="5F6368"/>
                <w:sz w:val="21"/>
                <w:u w:val="none"/>
              </w:rPr>
              <w:t>[Durée] : au moins 6 mois pour un système à haut risque (art. 26, dès le 2 décembre 2027) ; à fixer selon vos besoins pour les autres agents, sans conserver de données personnelles au-delà du nécessaire (RGPD).</w:t>
            </w:r>
          </w:p>
        </w:tc>
      </w:tr>
      <w:tr>
        <w:tc>
          <w:tcPr>
            <w:tcW w:type="dxa" w:w="2551"/>
            <w:tcBorders>
              <w:bottom w:val="single" w:sz="4" w:space="0" w:color="E3E6EA"/>
            </w:tcBorders>
            <w:tcMar>
              <w:top w:w="140" w:type="dxa"/>
              <w:start w:w="0" w:type="dxa"/>
              <w:bottom w:w="140" w:type="dxa"/>
              <w:end w:w="120" w:type="dxa"/>
            </w:tcMar>
            <w:vAlign w:val="top"/>
          </w:tcPr>
          <w:p>
            <w:pPr>
              <w:spacing w:after="0" w:line="312" w:lineRule="auto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20"/>
                <w:u w:val="none"/>
              </w:rPr>
              <w:t>Revue</w:t>
            </w:r>
          </w:p>
        </w:tc>
        <w:tc>
          <w:tcPr>
            <w:tcW w:type="dxa" w:w="6860"/>
            <w:tcBorders>
              <w:bottom w:val="single" w:sz="4" w:space="0" w:color="E3E6EA"/>
            </w:tcBorders>
            <w:tcMar>
              <w:top w:w="140" w:type="dxa"/>
              <w:start w:w="120" w:type="dxa"/>
              <w:bottom w:w="140" w:type="dxa"/>
              <w:end w:w="0" w:type="dxa"/>
            </w:tcMar>
            <w:vAlign w:val="top"/>
          </w:tcPr>
          <w:p>
            <w:pPr>
              <w:spacing w:after="0" w:line="324" w:lineRule="auto"/>
            </w:pPr>
            <w:r/>
            <w:r>
              <w:rPr>
                <w:rFonts w:ascii="Inter" w:hAnsi="Inter" w:cs="Inter" w:eastAsia="Inter"/>
                <w:b w:val="0"/>
                <w:i w:val="0"/>
                <w:color w:val="5F6368"/>
                <w:sz w:val="21"/>
                <w:u w:val="none"/>
              </w:rPr>
              <w:t>Une lecture par semaine pendant le premier mois, puis une fois par mois.</w:t>
            </w:r>
          </w:p>
        </w:tc>
      </w:tr>
      <w:tr>
        <w:tc>
          <w:tcPr>
            <w:tcW w:type="dxa" w:w="2551"/>
            <w:tcBorders>
              <w:bottom w:val="single" w:sz="4" w:space="0" w:color="E3E6EA"/>
            </w:tcBorders>
            <w:tcMar>
              <w:top w:w="140" w:type="dxa"/>
              <w:start w:w="0" w:type="dxa"/>
              <w:bottom w:w="140" w:type="dxa"/>
              <w:end w:w="120" w:type="dxa"/>
            </w:tcMar>
            <w:vAlign w:val="top"/>
          </w:tcPr>
          <w:p>
            <w:pPr>
              <w:spacing w:after="0" w:line="312" w:lineRule="auto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20"/>
                <w:u w:val="none"/>
              </w:rPr>
              <w:t>Incident</w:t>
            </w:r>
          </w:p>
        </w:tc>
        <w:tc>
          <w:tcPr>
            <w:tcW w:type="dxa" w:w="6860"/>
            <w:tcBorders>
              <w:bottom w:val="single" w:sz="4" w:space="0" w:color="E3E6EA"/>
            </w:tcBorders>
            <w:tcMar>
              <w:top w:w="140" w:type="dxa"/>
              <w:start w:w="120" w:type="dxa"/>
              <w:bottom w:w="140" w:type="dxa"/>
              <w:end w:w="0" w:type="dxa"/>
            </w:tcMar>
            <w:vAlign w:val="top"/>
          </w:tcPr>
          <w:p>
            <w:pPr>
              <w:spacing w:after="0" w:line="324" w:lineRule="auto"/>
            </w:pPr>
            <w:r/>
            <w:r>
              <w:rPr>
                <w:rFonts w:ascii="Inter" w:hAnsi="Inter" w:cs="Inter" w:eastAsia="Inter"/>
                <w:b w:val="0"/>
                <w:i w:val="0"/>
                <w:color w:val="5F6368"/>
                <w:sz w:val="21"/>
                <w:u w:val="none"/>
              </w:rPr>
              <w:t>Toute erreur de l'agent est notée, corrigée, et la règle qui l'a permise est modifiée.</w:t>
            </w:r>
          </w:p>
        </w:tc>
      </w:tr>
    </w:tbl>
    <w:p>
      <w:pPr>
        <w:spacing w:before="0" w:after="0" w:line="120" w:lineRule="exact"/>
      </w:pPr>
      <w:r>
        <w:rPr>
          <w:rFonts w:ascii="Inter" w:hAnsi="Inter" w:cs="Inter" w:eastAsia="Inter"/>
          <w:b w:val="0"/>
          <w:i w:val="0"/>
          <w:color w:val="3C4043"/>
          <w:sz w:val="4"/>
          <w:u w:val="none"/>
        </w:rPr>
      </w:r>
    </w:p>
    <w:p>
      <w:pPr>
        <w:pBdr>
          <w:top w:val="single" w:sz="12" w:space="8" w:color="202124"/>
        </w:pBdr>
        <w:keepNext/>
        <w:spacing w:before="320" w:after="160"/>
      </w:pPr>
      <w:r>
        <w:rPr>
          <w:rFonts w:ascii="Inter" w:hAnsi="Inter" w:cs="Inter" w:eastAsia="Inter"/>
          <w:b/>
          <w:i w:val="0"/>
          <w:color w:val="4285F4"/>
          <w:sz w:val="18"/>
          <w:u w:val="none"/>
          <w:spacing w:val="8"/>
        </w:rPr>
        <w:t xml:space="preserve">02  </w:t>
      </w:r>
      <w:r>
        <w:rPr>
          <w:rFonts w:ascii="Inter" w:hAnsi="Inter" w:cs="Inter" w:eastAsia="Inter"/>
          <w:b/>
          <w:i w:val="0"/>
          <w:color w:val="202124"/>
          <w:sz w:val="28"/>
          <w:u w:val="none"/>
        </w:rPr>
        <w:t>Journal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411" w:type="dxa"/>
      </w:tblPr>
      <w:tblGrid>
        <w:gridCol w:w="1361"/>
        <w:gridCol w:w="2041"/>
        <w:gridCol w:w="1701"/>
        <w:gridCol w:w="1247"/>
        <w:gridCol w:w="1247"/>
        <w:gridCol w:w="2041"/>
      </w:tblGrid>
      <w:tr>
        <w:tc>
          <w:tcPr>
            <w:tcW w:type="dxa" w:w="1361"/>
            <w:tcBorders>
              <w:bottom w:val="single" w:sz="8" w:space="0" w:color="FBBC05"/>
            </w:tcBorders>
            <w:shd w:val="clear" w:color="auto" w:fill="F1F3F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16"/>
                <w:u w:val="none"/>
              </w:rPr>
              <w:t>Date et heure</w:t>
            </w:r>
          </w:p>
        </w:tc>
        <w:tc>
          <w:tcPr>
            <w:tcW w:type="dxa" w:w="2041"/>
            <w:tcBorders>
              <w:bottom w:val="single" w:sz="8" w:space="0" w:color="FBBC05"/>
            </w:tcBorders>
            <w:shd w:val="clear" w:color="auto" w:fill="F1F3F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16"/>
                <w:u w:val="none"/>
              </w:rPr>
              <w:t>Action de l'agent</w:t>
            </w:r>
          </w:p>
        </w:tc>
        <w:tc>
          <w:tcPr>
            <w:tcW w:type="dxa" w:w="1701"/>
            <w:tcBorders>
              <w:bottom w:val="single" w:sz="8" w:space="0" w:color="FBBC05"/>
            </w:tcBorders>
            <w:shd w:val="clear" w:color="auto" w:fill="F1F3F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16"/>
                <w:u w:val="none"/>
              </w:rPr>
              <w:t>Données utilisées</w:t>
            </w:r>
          </w:p>
        </w:tc>
        <w:tc>
          <w:tcPr>
            <w:tcW w:type="dxa" w:w="1247"/>
            <w:tcBorders>
              <w:bottom w:val="single" w:sz="8" w:space="0" w:color="FBBC05"/>
            </w:tcBorders>
            <w:shd w:val="clear" w:color="auto" w:fill="F1F3F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16"/>
                <w:u w:val="none"/>
              </w:rPr>
              <w:t>Mode</w:t>
            </w:r>
          </w:p>
        </w:tc>
        <w:tc>
          <w:tcPr>
            <w:tcW w:type="dxa" w:w="1247"/>
            <w:tcBorders>
              <w:bottom w:val="single" w:sz="8" w:space="0" w:color="FBBC05"/>
            </w:tcBorders>
            <w:shd w:val="clear" w:color="auto" w:fill="F1F3F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16"/>
                <w:u w:val="none"/>
              </w:rPr>
              <w:t>Validé par</w:t>
            </w:r>
          </w:p>
        </w:tc>
        <w:tc>
          <w:tcPr>
            <w:tcW w:type="dxa" w:w="2041"/>
            <w:tcBorders>
              <w:bottom w:val="single" w:sz="8" w:space="0" w:color="FBBC05"/>
            </w:tcBorders>
            <w:shd w:val="clear" w:color="auto" w:fill="F1F3F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16"/>
                <w:u w:val="none"/>
              </w:rPr>
              <w:t>Résultat ou correction</w:t>
            </w:r>
          </w:p>
        </w:tc>
      </w:tr>
      <w:tr>
        <w:tc>
          <w:tcPr>
            <w:tcW w:type="dxa" w:w="136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6"/>
                <w:u w:val="none"/>
              </w:rPr>
              <w:t>06/10/2026 09:12</w:t>
            </w:r>
          </w:p>
        </w:tc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6"/>
                <w:u w:val="none"/>
              </w:rPr>
              <w:t>Exemple : 2e relance, facture n° [x]</w:t>
            </w:r>
          </w:p>
        </w:tc>
        <w:tc>
          <w:tcPr>
            <w:tcW w:type="dxa" w:w="170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6"/>
                <w:u w:val="none"/>
              </w:rPr>
              <w:t>Facture, échéance, historique</w:t>
            </w:r>
          </w:p>
        </w:tc>
        <w:tc>
          <w:tcPr>
            <w:tcW w:type="dxa" w:w="124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6"/>
                <w:u w:val="none"/>
              </w:rPr>
              <w:t>Automatique</w:t>
            </w:r>
          </w:p>
        </w:tc>
        <w:tc>
          <w:tcPr>
            <w:tcW w:type="dxa" w:w="124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6"/>
                <w:u w:val="none"/>
              </w:rPr>
              <w:t>Payée le 09/10</w:t>
            </w:r>
          </w:p>
        </w:tc>
      </w:tr>
      <w:tr>
        <w:tc>
          <w:tcPr>
            <w:tcW w:type="dxa" w:w="136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6"/>
                <w:u w:val="none"/>
              </w:rPr>
              <w:t>06/10/2026 09:15</w:t>
            </w:r>
          </w:p>
        </w:tc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6"/>
                <w:u w:val="none"/>
              </w:rPr>
              <w:t>Exemple : proposition de mise en demeure</w:t>
            </w:r>
          </w:p>
        </w:tc>
        <w:tc>
          <w:tcPr>
            <w:tcW w:type="dxa" w:w="170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6"/>
                <w:u w:val="none"/>
              </w:rPr>
              <w:t>Facture, 3 relances sans réponse</w:t>
            </w:r>
          </w:p>
        </w:tc>
        <w:tc>
          <w:tcPr>
            <w:tcW w:type="dxa" w:w="124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6"/>
                <w:u w:val="none"/>
              </w:rPr>
              <w:t>Validation</w:t>
            </w:r>
          </w:p>
        </w:tc>
        <w:tc>
          <w:tcPr>
            <w:tcW w:type="dxa" w:w="124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6"/>
                <w:u w:val="none"/>
              </w:rPr>
              <w:t>[Nom]</w:t>
            </w:r>
          </w:p>
        </w:tc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6"/>
                <w:u w:val="none"/>
              </w:rPr>
              <w:t>Refusée : client stratégique, appel</w:t>
            </w:r>
          </w:p>
        </w:tc>
      </w:tr>
      <w:tr>
        <w:tc>
          <w:tcPr>
            <w:tcW w:type="dxa" w:w="136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70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24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24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</w:tr>
      <w:tr>
        <w:tc>
          <w:tcPr>
            <w:tcW w:type="dxa" w:w="136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70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24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24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</w:tr>
      <w:tr>
        <w:tc>
          <w:tcPr>
            <w:tcW w:type="dxa" w:w="136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70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24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24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</w:tr>
      <w:tr>
        <w:tc>
          <w:tcPr>
            <w:tcW w:type="dxa" w:w="136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70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24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24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</w:tr>
      <w:tr>
        <w:tc>
          <w:tcPr>
            <w:tcW w:type="dxa" w:w="136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70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24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24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</w:tr>
    </w:tbl>
    <w:p>
      <w:pPr>
        <w:spacing w:before="0" w:after="0" w:line="160" w:lineRule="exact"/>
      </w:pPr>
      <w:r>
        <w:rPr>
          <w:rFonts w:ascii="Inter" w:hAnsi="Inter" w:cs="Inter" w:eastAsia="Inter"/>
          <w:b w:val="0"/>
          <w:i w:val="0"/>
          <w:color w:val="3C4043"/>
          <w:sz w:val="4"/>
          <w:u w:val="none"/>
        </w:rPr>
      </w:r>
    </w:p>
    <w:p>
      <w:pPr>
        <w:pBdr>
          <w:top w:val="single" w:sz="12" w:space="8" w:color="202124"/>
        </w:pBdr>
        <w:keepNext/>
        <w:spacing w:before="320" w:after="160"/>
      </w:pPr>
      <w:r>
        <w:rPr>
          <w:rFonts w:ascii="Inter" w:hAnsi="Inter" w:cs="Inter" w:eastAsia="Inter"/>
          <w:b/>
          <w:i w:val="0"/>
          <w:color w:val="4285F4"/>
          <w:sz w:val="18"/>
          <w:u w:val="none"/>
          <w:spacing w:val="8"/>
        </w:rPr>
        <w:t xml:space="preserve">03  </w:t>
      </w:r>
      <w:r>
        <w:rPr>
          <w:rFonts w:ascii="Inter" w:hAnsi="Inter" w:cs="Inter" w:eastAsia="Inter"/>
          <w:b/>
          <w:i w:val="0"/>
          <w:color w:val="202124"/>
          <w:sz w:val="28"/>
          <w:u w:val="none"/>
        </w:rPr>
        <w:t>Les signaux qui doivent faire réagir</w:t>
      </w:r>
    </w:p>
    <w:p>
      <w:pPr>
        <w:tabs>
          <w:tab w:pos="340" w:val="left"/>
        </w:tabs>
        <w:spacing w:before="0" w:after="80" w:line="312" w:lineRule="auto"/>
        <w:ind w:left="340" w:hanging="340"/>
      </w:pPr>
      <w:r>
        <w:rPr>
          <w:rFonts w:ascii="Inter" w:hAnsi="Inter" w:cs="Inter" w:eastAsia="Inter"/>
          <w:b w:val="0"/>
          <w:i w:val="0"/>
          <w:color w:val="5F6368"/>
          <w:sz w:val="14"/>
          <w:u w:val="none"/>
        </w:rPr>
        <w:t>●</w:t>
      </w:r>
      <w:r>
        <w:tab/>
      </w:r>
      <w:r>
        <w:rPr>
          <w:rFonts w:ascii="Inter" w:hAnsi="Inter" w:cs="Inter" w:eastAsia="Inter"/>
          <w:b w:val="0"/>
          <w:i w:val="0"/>
          <w:color w:val="5F6368"/>
          <w:sz w:val="21"/>
          <w:u w:val="none"/>
        </w:rPr>
        <w:t>Une même erreur revient deux fois : la règle de l'agent doit changer.</w:t>
      </w:r>
    </w:p>
    <w:p>
      <w:pPr>
        <w:tabs>
          <w:tab w:pos="340" w:val="left"/>
        </w:tabs>
        <w:spacing w:before="0" w:after="80" w:line="312" w:lineRule="auto"/>
        <w:ind w:left="340" w:hanging="340"/>
      </w:pPr>
      <w:r>
        <w:rPr>
          <w:rFonts w:ascii="Inter" w:hAnsi="Inter" w:cs="Inter" w:eastAsia="Inter"/>
          <w:b w:val="0"/>
          <w:i w:val="0"/>
          <w:color w:val="5F6368"/>
          <w:sz w:val="14"/>
          <w:u w:val="none"/>
        </w:rPr>
        <w:t>●</w:t>
      </w:r>
      <w:r>
        <w:tab/>
      </w:r>
      <w:r>
        <w:rPr>
          <w:rFonts w:ascii="Inter" w:hAnsi="Inter" w:cs="Inter" w:eastAsia="Inter"/>
          <w:b w:val="0"/>
          <w:i w:val="0"/>
          <w:color w:val="5F6368"/>
          <w:sz w:val="21"/>
          <w:u w:val="none"/>
        </w:rPr>
        <w:t>Les validations humaines sont toujours acceptées sans lecture : le contrôle n'est plus réel.</w:t>
      </w:r>
    </w:p>
    <w:p>
      <w:pPr>
        <w:tabs>
          <w:tab w:pos="340" w:val="left"/>
        </w:tabs>
        <w:spacing w:before="0" w:after="80" w:line="312" w:lineRule="auto"/>
        <w:ind w:left="340" w:hanging="340"/>
      </w:pPr>
      <w:r>
        <w:rPr>
          <w:rFonts w:ascii="Inter" w:hAnsi="Inter" w:cs="Inter" w:eastAsia="Inter"/>
          <w:b w:val="0"/>
          <w:i w:val="0"/>
          <w:color w:val="5F6368"/>
          <w:sz w:val="14"/>
          <w:u w:val="none"/>
        </w:rPr>
        <w:t>●</w:t>
      </w:r>
      <w:r>
        <w:tab/>
      </w:r>
      <w:r>
        <w:rPr>
          <w:rFonts w:ascii="Inter" w:hAnsi="Inter" w:cs="Inter" w:eastAsia="Inter"/>
          <w:b w:val="0"/>
          <w:i w:val="0"/>
          <w:color w:val="5F6368"/>
          <w:sz w:val="21"/>
          <w:u w:val="none"/>
        </w:rPr>
        <w:t>Une réclamation cite un message de l'agent : retrouver la ligne, répondre, corriger.</w:t>
      </w:r>
    </w:p>
    <w:p>
      <w:pPr>
        <w:tabs>
          <w:tab w:pos="340" w:val="left"/>
        </w:tabs>
        <w:spacing w:before="0" w:after="80" w:line="312" w:lineRule="auto"/>
        <w:ind w:left="340" w:hanging="340"/>
      </w:pPr>
      <w:r>
        <w:rPr>
          <w:rFonts w:ascii="Inter" w:hAnsi="Inter" w:cs="Inter" w:eastAsia="Inter"/>
          <w:b w:val="0"/>
          <w:i w:val="0"/>
          <w:color w:val="5F6368"/>
          <w:sz w:val="14"/>
          <w:u w:val="none"/>
        </w:rPr>
        <w:t>●</w:t>
      </w:r>
      <w:r>
        <w:tab/>
      </w:r>
      <w:r>
        <w:rPr>
          <w:rFonts w:ascii="Inter" w:hAnsi="Inter" w:cs="Inter" w:eastAsia="Inter"/>
          <w:b w:val="0"/>
          <w:i w:val="0"/>
          <w:color w:val="5F6368"/>
          <w:sz w:val="21"/>
          <w:u w:val="none"/>
        </w:rPr>
        <w:t>Le coût mensuel de l'agent dérive sans hausse d'activité : vérifier les boucles.</w:t>
      </w:r>
    </w:p>
    <w:p>
      <w:pPr>
        <w:spacing w:before="0" w:after="0" w:line="80" w:lineRule="exact"/>
      </w:pPr>
      <w:r>
        <w:rPr>
          <w:rFonts w:ascii="Inter" w:hAnsi="Inter" w:cs="Inter" w:eastAsia="Inter"/>
          <w:b w:val="0"/>
          <w:i w:val="0"/>
          <w:color w:val="3C4043"/>
          <w:sz w:val="4"/>
          <w:u w:val="none"/>
        </w:rPr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1906" w:h="16838"/>
      <w:pgMar w:top="1134" w:right="1247" w:bottom="907" w:left="1247" w:header="624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6" w:color="E3E6EA"/>
      </w:pBdr>
      <w:pStyle w:val="Footer"/>
      <w:tabs>
        <w:tab w:pos="4705" w:val="center"/>
        <w:tab w:pos="9411" w:val="right"/>
      </w:tabs>
    </w:pPr>
    <w:r/>
    <w:r>
      <w:rPr>
        <w:rFonts w:ascii="Inter" w:hAnsi="Inter" w:cs="Inter" w:eastAsia="Inter"/>
        <w:b w:val="0"/>
        <w:i w:val="0"/>
        <w:color w:val="80868B"/>
        <w:sz w:val="15"/>
        <w:u w:val="none"/>
        <w:spacing w:val="10"/>
      </w:rPr>
      <w:t>MODÈLE INDICATIF · EMPLOYE-IA.FR</w:t>
    </w:r>
    <w:r>
      <w:tab/>
    </w:r>
    <w:r>
      <w:rPr>
        <w:rFonts w:ascii="Inter" w:hAnsi="Inter" w:cs="Inter" w:eastAsia="Inter"/>
        <w:b w:val="0"/>
        <w:i w:val="0"/>
        <w:color w:val="4285F4"/>
        <w:sz w:val="15"/>
        <w:u w:val="none"/>
      </w:rPr>
      <w:t xml:space="preserve">✦ </w:t>
    </w:r>
    <w:r>
      <w:rPr>
        <w:rFonts w:ascii="Inter" w:hAnsi="Inter" w:cs="Inter" w:eastAsia="Inter"/>
        <w:b w:val="0"/>
        <w:i w:val="0"/>
        <w:color w:val="34A853"/>
        <w:sz w:val="15"/>
        <w:u w:val="none"/>
      </w:rPr>
      <w:t xml:space="preserve">✦ </w:t>
    </w:r>
    <w:r>
      <w:rPr>
        <w:rFonts w:ascii="Inter" w:hAnsi="Inter" w:cs="Inter" w:eastAsia="Inter"/>
        <w:b w:val="0"/>
        <w:i w:val="0"/>
        <w:color w:val="FBBC05"/>
        <w:sz w:val="15"/>
        <w:u w:val="none"/>
      </w:rPr>
      <w:t xml:space="preserve">✦ </w:t>
    </w:r>
    <w:r>
      <w:rPr>
        <w:rFonts w:ascii="Inter" w:hAnsi="Inter" w:cs="Inter" w:eastAsia="Inter"/>
        <w:b w:val="0"/>
        <w:i w:val="0"/>
        <w:color w:val="EA4335"/>
        <w:sz w:val="15"/>
        <w:u w:val="none"/>
      </w:rPr>
      <w:t xml:space="preserve">✦ </w:t>
    </w:r>
    <w:r>
      <w:tab/>
    </w:r>
    <w:r>
      <w:rPr>
        <w:rFonts w:ascii="Inter" w:hAnsi="Inter" w:cs="Inter"/>
        <w:rFonts w:ascii="Inter" w:hAnsi="Inter"/>
        <w:b w:val="0"/>
        <w:color w:val="80868B"/>
        <w:sz w:val="15"/>
      </w:rPr>
      <w:fldChar w:fldCharType="begin"/>
    </w:r>
    <w:r>
      <w:rPr>
        <w:rFonts w:ascii="Inter" w:hAnsi="Inter" w:cs="Inter"/>
        <w:rFonts w:ascii="Inter" w:hAnsi="Inter"/>
        <w:b w:val="0"/>
        <w:color w:val="80868B"/>
        <w:sz w:val="15"/>
      </w:rPr>
      <w:instrText xml:space="preserve"> PAGE \# "00" </w:instrText>
    </w:r>
    <w:r>
      <w:rPr>
        <w:rFonts w:ascii="Inter" w:hAnsi="Inter" w:cs="Inter"/>
        <w:rFonts w:ascii="Inter" w:hAnsi="Inter"/>
        <w:b w:val="0"/>
        <w:color w:val="80868B"/>
        <w:sz w:val="15"/>
      </w:rPr>
      <w:fldChar w:fldCharType="end"/>
    </w:r>
    <w:r>
      <w:rPr>
        <w:rFonts w:ascii="Inter" w:hAnsi="Inter" w:cs="Inter" w:eastAsia="Inter"/>
        <w:b w:val="0"/>
        <w:i w:val="0"/>
        <w:color w:val="80868B"/>
        <w:sz w:val="15"/>
        <w:u w:val="none"/>
      </w:rPr>
      <w:t xml:space="preserve"> / </w:t>
    </w:r>
    <w:r>
      <w:rPr>
        <w:rFonts w:ascii="Inter" w:hAnsi="Inter" w:cs="Inter"/>
        <w:rFonts w:ascii="Inter" w:hAnsi="Inter"/>
        <w:b w:val="0"/>
        <w:color w:val="80868B"/>
        <w:sz w:val="15"/>
      </w:rPr>
      <w:fldChar w:fldCharType="begin"/>
    </w:r>
    <w:r>
      <w:rPr>
        <w:rFonts w:ascii="Inter" w:hAnsi="Inter" w:cs="Inter"/>
        <w:rFonts w:ascii="Inter" w:hAnsi="Inter"/>
        <w:b w:val="0"/>
        <w:color w:val="80868B"/>
        <w:sz w:val="15"/>
      </w:rPr>
      <w:instrText xml:space="preserve"> NUMPAGES \# "00" </w:instrText>
    </w:r>
    <w:r>
      <w:rPr>
        <w:rFonts w:ascii="Inter" w:hAnsi="Inter" w:cs="Inter"/>
        <w:rFonts w:ascii="Inter" w:hAnsi="Inter"/>
        <w:b w:val="0"/>
        <w:color w:val="80868B"/>
        <w:sz w:val="15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4" w:space="6" w:color="E3E6EA"/>
      </w:pBdr>
      <w:pStyle w:val="Header"/>
      <w:tabs>
        <w:tab w:pos="9411" w:val="right"/>
      </w:tabs>
    </w:pPr>
    <w:r/>
    <w:r>
      <w:rPr>
        <w:rFonts w:ascii="Inter" w:hAnsi="Inter" w:cs="Inter" w:eastAsia="Inter"/>
        <w:b/>
        <w:i w:val="0"/>
        <w:color w:val="80868B"/>
        <w:sz w:val="15"/>
        <w:u w:val="none"/>
        <w:spacing w:val="12"/>
      </w:rPr>
      <w:t>JOURNAL DES DÉCISIONS</w:t>
    </w:r>
    <w:r>
      <w:tab/>
    </w:r>
    <w:r>
      <w:rPr>
        <w:rFonts w:ascii="Inter" w:hAnsi="Inter" w:cs="Inter" w:eastAsia="Inter"/>
        <w:b/>
        <w:i w:val="0"/>
        <w:color w:val="80868B"/>
        <w:sz w:val="15"/>
        <w:u w:val="none"/>
        <w:spacing w:val="12"/>
      </w:rPr>
      <w:t>SUPERVISION D'UN AGENT IA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</w:pPr>
    <w:r/>
    <w:r>
      <w:rPr>
        <w:rFonts w:ascii="Inter" w:hAnsi="Inter" w:cs="Inter" w:eastAsia="Inter"/>
        <w:b/>
        <w:i w:val="0"/>
        <w:color w:val="80868B"/>
        <w:sz w:val="15"/>
        <w:u w:val="none"/>
        <w:spacing w:val="12"/>
      </w:rPr>
      <w:t>KIT CONFORMITÉ AGENT IA · MODÈLE 3</w:t>
    </w:r>
    <w:r>
      <w:tab/>
    </w:r>
    <w:r>
      <w:rPr>
        <w:rFonts w:ascii="Inter" w:hAnsi="Inter" w:cs="Inter" w:eastAsia="Inter"/>
        <w:b w:val="0"/>
        <w:i w:val="0"/>
        <w:color w:val="4285F4"/>
        <w:sz w:val="15"/>
        <w:u w:val="none"/>
      </w:rPr>
      <w:t xml:space="preserve">✦ </w:t>
    </w:r>
    <w:r>
      <w:rPr>
        <w:rFonts w:ascii="Inter" w:hAnsi="Inter" w:cs="Inter" w:eastAsia="Inter"/>
        <w:b w:val="0"/>
        <w:i w:val="0"/>
        <w:color w:val="34A853"/>
        <w:sz w:val="15"/>
        <w:u w:val="none"/>
      </w:rPr>
      <w:t xml:space="preserve">✦ </w:t>
    </w:r>
    <w:r>
      <w:rPr>
        <w:rFonts w:ascii="Inter" w:hAnsi="Inter" w:cs="Inter" w:eastAsia="Inter"/>
        <w:b w:val="0"/>
        <w:i w:val="0"/>
        <w:color w:val="FBBC05"/>
        <w:sz w:val="15"/>
        <w:u w:val="none"/>
      </w:rPr>
      <w:t xml:space="preserve">✦ </w:t>
    </w:r>
    <w:r>
      <w:rPr>
        <w:rFonts w:ascii="Inter" w:hAnsi="Inter" w:cs="Inter" w:eastAsia="Inter"/>
        <w:b w:val="0"/>
        <w:i w:val="0"/>
        <w:color w:val="EA4335"/>
        <w:sz w:val="15"/>
        <w:u w:val="none"/>
      </w:rPr>
      <w:t xml:space="preserve">✦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Inter" w:hAnsi="Inter" w:cs="Inter" w:eastAsia="Inter"/>
      <w:color w:val="3C404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