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128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bottom w:val="single" w:sz="26" w:space="2" w:color="4285F4"/>
        </w:pBdr>
        <w:spacing w:before="0" w:after="200"/>
        <w:ind w:right="8617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spacing w:before="0" w:after="200" w:line="250" w:lineRule="auto"/>
      </w:pPr>
      <w:r>
        <w:rPr>
          <w:rFonts w:ascii="Inter" w:hAnsi="Inter" w:cs="Inter" w:eastAsia="Inter"/>
          <w:b/>
          <w:i w:val="0"/>
          <w:color w:val="202124"/>
          <w:sz w:val="72"/>
          <w:u w:val="none"/>
        </w:rPr>
        <w:t>Registre des agents IA</w:t>
      </w:r>
    </w:p>
    <w:p>
      <w:pPr>
        <w:spacing w:before="0" w:after="200" w:line="264" w:lineRule="auto"/>
      </w:pPr>
      <w:r>
        <w:rPr>
          <w:rFonts w:ascii="Inter" w:hAnsi="Inter" w:cs="Inter" w:eastAsia="Inter"/>
          <w:b w:val="0"/>
          <w:i w:val="0"/>
          <w:color w:val="5F6368"/>
          <w:sz w:val="32"/>
          <w:u w:val="none"/>
        </w:rPr>
        <w:t xml:space="preserve">Inventaire </w:t>
      </w:r>
      <w:r>
        <w:rPr>
          <w:rFonts w:ascii="Inter" w:hAnsi="Inter" w:cs="Inter" w:eastAsia="Inter"/>
          <w:b/>
          <w:i w:val="0"/>
          <w:color w:val="202124"/>
          <w:sz w:val="32"/>
          <w:u w:val="none"/>
        </w:rPr>
        <w:t>et classification du risque</w:t>
      </w:r>
    </w:p>
    <w:p>
      <w:pPr>
        <w:spacing w:before="0" w:after="200" w:line="360" w:lineRule="auto"/>
      </w:pPr>
      <w:r>
        <w:rPr>
          <w:rFonts w:ascii="Inter" w:hAnsi="Inter" w:cs="Inter" w:eastAsia="Inter"/>
          <w:b w:val="0"/>
          <w:i w:val="0"/>
          <w:color w:val="5F6368"/>
          <w:sz w:val="23"/>
          <w:u w:val="none"/>
        </w:rPr>
        <w:t>Une ligne par agent ou outil d'IA utilisé dans l'entreprise : ce qu'il fait, avec quelles données, quel niveau de risque au sens de l'AI Act, qui le supervise. C'est la première pièce demandée lors d'un contrôle ou d'un audit client.</w:t>
      </w:r>
    </w:p>
    <w:p>
      <w:pPr>
        <w:spacing w:before="0" w:after="0" w:line="300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411" w:type="dxa"/>
      </w:tblPr>
      <w:tblGrid>
        <w:gridCol w:w="3137"/>
        <w:gridCol w:w="3137"/>
        <w:gridCol w:w="3137"/>
      </w:tblGrid>
      <w:tr>
        <w:tc>
          <w:tcPr>
            <w:tcW w:type="dxa" w:w="4564"/>
            <w:tcBorders>
              <w:top w:val="single" w:sz="6" w:space="0" w:color="C7CCD1"/>
            </w:tcBorders>
            <w:tcMar>
              <w:top w:w="200" w:type="dxa"/>
              <w:start w:w="0" w:type="dxa"/>
              <w:bottom w:w="200" w:type="dxa"/>
              <w:end w:w="280" w:type="dxa"/>
            </w:tcMar>
            <w:vAlign w:val="top"/>
            <w:vAlign w:val="top"/>
          </w:tcPr>
          <w:p>
            <w:pPr>
              <w:spacing w:after="80" w:line="240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4285F4"/>
                <w:sz w:val="14"/>
                <w:u w:val="none"/>
              </w:rPr>
              <w:t xml:space="preserve">●  </w:t>
            </w:r>
            <w:r>
              <w:rPr>
                <w:rFonts w:ascii="Inter" w:hAnsi="Inter" w:cs="Inter" w:eastAsia="Inter"/>
                <w:b/>
                <w:i w:val="0"/>
                <w:color w:val="80868B"/>
                <w:sz w:val="16"/>
                <w:u w:val="none"/>
                <w:spacing w:val="14"/>
              </w:rPr>
              <w:t>QUI LE TIENT</w:t>
            </w:r>
          </w:p>
          <w:p>
            <w:pPr>
              <w:spacing w:before="40" w:after="80" w:line="252" w:lineRule="auto"/>
            </w:pPr>
            <w:r>
              <w:rPr>
                <w:rFonts w:ascii="Inter" w:hAnsi="Inter" w:cs="Inter" w:eastAsia="Inter"/>
                <w:b/>
                <w:i w:val="0"/>
                <w:color w:val="202124"/>
                <w:sz w:val="26"/>
                <w:u w:val="none"/>
              </w:rPr>
              <w:t>Référent IA</w:t>
            </w:r>
          </w:p>
          <w:p>
            <w:pPr>
              <w:spacing w:before="0" w:after="0" w:line="336" w:lineRule="auto"/>
            </w:pPr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Dirigeant, DPO ou responsable désigné : une seule personne tient le registre à jour.</w:t>
            </w:r>
          </w:p>
        </w:tc>
        <w:tc>
          <w:tcPr>
            <w:tcW w:type="dxa" w:w="283"/>
            <w:tcMar>
              <w:top w:w="0" w:type="dxa"/>
              <w:start w:w="0" w:type="dxa"/>
              <w:bottom w:w="0" w:type="dxa"/>
              <w:end w:w="0" w:type="dxa"/>
            </w:tcMar>
            <w:vAlign w:val="top"/>
          </w:tcPr>
          <w:p/>
        </w:tc>
        <w:tc>
          <w:tcPr>
            <w:tcW w:type="dxa" w:w="4564"/>
            <w:tcBorders>
              <w:top w:val="single" w:sz="6" w:space="0" w:color="C7CCD1"/>
              <w:left w:val="single" w:sz="4" w:space="0" w:color="E3E6EA"/>
            </w:tcBorders>
            <w:tcMar>
              <w:top w:w="200" w:type="dxa"/>
              <w:start w:w="0" w:type="dxa"/>
              <w:bottom w:w="200" w:type="dxa"/>
              <w:end w:w="280" w:type="dxa"/>
            </w:tcMar>
            <w:vAlign w:val="top"/>
            <w:vAlign w:val="top"/>
          </w:tcPr>
          <w:p>
            <w:pPr>
              <w:spacing w:after="80" w:line="240" w:lineRule="auto"/>
            </w:pPr>
            <w:r/>
            <w:r>
              <w:rPr>
                <w:rFonts w:ascii="Inter" w:hAnsi="Inter" w:cs="Inter" w:eastAsia="Inter"/>
                <w:b w:val="0"/>
                <w:i w:val="0"/>
                <w:color w:val="34A853"/>
                <w:sz w:val="14"/>
                <w:u w:val="none"/>
              </w:rPr>
              <w:t xml:space="preserve">●  </w:t>
            </w:r>
            <w:r>
              <w:rPr>
                <w:rFonts w:ascii="Inter" w:hAnsi="Inter" w:cs="Inter" w:eastAsia="Inter"/>
                <w:b/>
                <w:i w:val="0"/>
                <w:color w:val="80868B"/>
                <w:sz w:val="16"/>
                <w:u w:val="none"/>
                <w:spacing w:val="14"/>
              </w:rPr>
              <w:t>QUAND LE METTRE À JOUR</w:t>
            </w:r>
          </w:p>
          <w:p>
            <w:pPr>
              <w:spacing w:before="40" w:after="80" w:line="252" w:lineRule="auto"/>
            </w:pPr>
            <w:r>
              <w:rPr>
                <w:rFonts w:ascii="Inter" w:hAnsi="Inter" w:cs="Inter" w:eastAsia="Inter"/>
                <w:b/>
                <w:i w:val="0"/>
                <w:color w:val="202124"/>
                <w:sz w:val="26"/>
                <w:u w:val="none"/>
              </w:rPr>
              <w:t>À chaque changement</w:t>
            </w:r>
          </w:p>
          <w:p>
            <w:pPr>
              <w:spacing w:before="0" w:after="0" w:line="336" w:lineRule="auto"/>
            </w:pPr>
            <w:r>
              <w:rPr>
                <w:rFonts w:ascii="Inter" w:hAnsi="Inter" w:cs="Inter" w:eastAsia="Inter"/>
                <w:b w:val="0"/>
                <w:i w:val="0"/>
                <w:color w:val="5F6368"/>
                <w:sz w:val="21"/>
                <w:u w:val="none"/>
              </w:rPr>
              <w:t>Nouvel agent, nouvelle mission, nouveau modèle, nouvelle source de données, arrêt.</w:t>
            </w:r>
          </w:p>
        </w:tc>
      </w:tr>
    </w:tbl>
    <w:p>
      <w:pPr>
        <w:spacing w:before="0" w:after="0" w:line="16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top w:val="single" w:sz="4" w:space="8" w:color="E3E6EA"/>
        </w:pBdr>
        <w:spacing w:before="160" w:after="0" w:line="360" w:lineRule="auto"/>
      </w:pPr>
      <w:r>
        <w:rPr>
          <w:rFonts w:ascii="Inter" w:hAnsi="Inter" w:cs="Inter" w:eastAsia="Inter"/>
          <w:b/>
          <w:i w:val="0"/>
          <w:color w:val="202124"/>
          <w:sz w:val="18"/>
          <w:u w:val="none"/>
        </w:rPr>
        <w:t xml:space="preserve">Version </w:t>
      </w:r>
      <w:r>
        <w:rPr>
          <w:rFonts w:ascii="Inter" w:hAnsi="Inter" w:cs="Inter" w:eastAsia="Inter"/>
          <w:b w:val="0"/>
          <w:i w:val="0"/>
          <w:color w:val="5F6368"/>
          <w:sz w:val="18"/>
          <w:u w:val="none"/>
        </w:rPr>
        <w:t>modèle du 6 octobre 2026</w:t>
      </w:r>
      <w:r>
        <w:rPr>
          <w:rFonts w:ascii="Inter" w:hAnsi="Inter" w:cs="Inter" w:eastAsia="Inter"/>
          <w:b w:val="0"/>
          <w:i w:val="0"/>
          <w:color w:val="C7CCD1"/>
          <w:sz w:val="18"/>
          <w:u w:val="none"/>
        </w:rPr>
        <w:t xml:space="preserve">    ·    </w:t>
      </w:r>
      <w:r>
        <w:rPr>
          <w:rFonts w:ascii="Inter" w:hAnsi="Inter" w:cs="Inter" w:eastAsia="Inter"/>
          <w:b/>
          <w:i w:val="0"/>
          <w:color w:val="202124"/>
          <w:sz w:val="18"/>
          <w:u w:val="none"/>
        </w:rPr>
        <w:t xml:space="preserve">Entreprise </w:t>
      </w:r>
      <w:r>
        <w:rPr>
          <w:rFonts w:ascii="Inter" w:hAnsi="Inter" w:cs="Inter" w:eastAsia="Inter"/>
          <w:b w:val="0"/>
          <w:i w:val="0"/>
          <w:color w:val="5F6368"/>
          <w:sz w:val="18"/>
          <w:u w:val="none"/>
        </w:rPr>
        <w:t>[raison sociale]</w:t>
      </w:r>
    </w:p>
    <w:p>
      <w:r>
        <w:br w:type="page"/>
      </w:r>
    </w:p>
    <w:p>
      <w:pPr>
        <w:pBdr>
          <w:top w:val="single" w:sz="12" w:space="8" w:color="202124"/>
        </w:pBdr>
        <w:keepNext/>
        <w:spacing w:before="320" w:after="160"/>
      </w:pPr>
      <w:r>
        <w:rPr>
          <w:rFonts w:ascii="Inter" w:hAnsi="Inter" w:cs="Inter" w:eastAsia="Inter"/>
          <w:b/>
          <w:i w:val="0"/>
          <w:color w:val="4285F4"/>
          <w:sz w:val="18"/>
          <w:u w:val="none"/>
          <w:spacing w:val="8"/>
        </w:rPr>
        <w:t xml:space="preserve">01  </w:t>
      </w:r>
      <w:r>
        <w:rPr>
          <w:rFonts w:ascii="Inter" w:hAnsi="Inter" w:cs="Inter" w:eastAsia="Inter"/>
          <w:b/>
          <w:i w:val="0"/>
          <w:color w:val="202124"/>
          <w:sz w:val="28"/>
          <w:u w:val="none"/>
        </w:rPr>
        <w:t>Les 4 niveaux de risque à retenir pour une PME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411" w:type="dxa"/>
      </w:tblPr>
      <w:tblGrid>
        <w:gridCol w:w="2041"/>
        <w:gridCol w:w="3628"/>
        <w:gridCol w:w="3969"/>
      </w:tblGrid>
      <w:tr>
        <w:tc>
          <w:tcPr>
            <w:tcW w:type="dxa" w:w="2041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8"/>
                <w:u w:val="none"/>
              </w:rPr>
              <w:t>Niveau</w:t>
            </w:r>
          </w:p>
        </w:tc>
        <w:tc>
          <w:tcPr>
            <w:tcW w:type="dxa" w:w="3628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8"/>
                <w:u w:val="none"/>
              </w:rPr>
              <w:t>Exemples</w:t>
            </w:r>
          </w:p>
        </w:tc>
        <w:tc>
          <w:tcPr>
            <w:tcW w:type="dxa" w:w="3969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8"/>
                <w:u w:val="none"/>
              </w:rPr>
              <w:t>Ce que cela implique</w:t>
            </w:r>
          </w:p>
        </w:tc>
      </w:tr>
      <w:tr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/>
                <w:i w:val="0"/>
                <w:color w:val="202124"/>
                <w:sz w:val="18"/>
                <w:u w:val="none"/>
              </w:rPr>
              <w:t>Interdit</w:t>
            </w:r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 xml:space="preserve"> (art. 5)</w:t>
            </w:r>
          </w:p>
        </w:tc>
        <w:tc>
          <w:tcPr>
            <w:tcW w:type="dxa" w:w="3628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>Notation sociale, manipulation, reconnaissance des émotions au travail</w:t>
            </w:r>
          </w:p>
        </w:tc>
        <w:tc>
          <w:tcPr>
            <w:tcW w:type="dxa" w:w="3969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>Ne pas déployer.</w:t>
            </w:r>
          </w:p>
        </w:tc>
      </w:tr>
      <w:tr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/>
                <w:i w:val="0"/>
                <w:color w:val="202124"/>
                <w:sz w:val="18"/>
                <w:u w:val="none"/>
              </w:rPr>
              <w:t>Haut risque</w:t>
            </w:r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 xml:space="preserve"> (annexe III)</w:t>
            </w:r>
          </w:p>
        </w:tc>
        <w:tc>
          <w:tcPr>
            <w:tcW w:type="dxa" w:w="3628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>Tri de CV, évaluation ou promotion de salariés, scoring de crédit</w:t>
            </w:r>
          </w:p>
        </w:tc>
        <w:tc>
          <w:tcPr>
            <w:tcW w:type="dxa" w:w="3969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 xml:space="preserve">Obligations du déployeur au </w:t>
            </w:r>
            <w:r>
              <w:rPr>
                <w:rFonts w:ascii="Inter" w:hAnsi="Inter" w:cs="Inter" w:eastAsia="Inter"/>
                <w:b/>
                <w:i w:val="0"/>
                <w:color w:val="202124"/>
                <w:sz w:val="18"/>
                <w:u w:val="none"/>
              </w:rPr>
              <w:t>2 décembre 2027</w:t>
            </w:r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 xml:space="preserve"> : surveillance humaine, information des personnes, journaux conservés au moins 6 mois, consultation du CSE.</w:t>
            </w:r>
          </w:p>
        </w:tc>
      </w:tr>
      <w:tr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/>
                <w:i w:val="0"/>
                <w:color w:val="202124"/>
                <w:sz w:val="18"/>
                <w:u w:val="none"/>
              </w:rPr>
              <w:t>Transparence</w:t>
            </w:r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 xml:space="preserve"> (art. 50)</w:t>
            </w:r>
          </w:p>
        </w:tc>
        <w:tc>
          <w:tcPr>
            <w:tcW w:type="dxa" w:w="3628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>Agent qui échange avec des clients, contenus générés publiés</w:t>
            </w:r>
          </w:p>
        </w:tc>
        <w:tc>
          <w:tcPr>
            <w:tcW w:type="dxa" w:w="3969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 xml:space="preserve">Depuis le </w:t>
            </w:r>
            <w:r>
              <w:rPr>
                <w:rFonts w:ascii="Inter" w:hAnsi="Inter" w:cs="Inter" w:eastAsia="Inter"/>
                <w:b/>
                <w:i w:val="0"/>
                <w:color w:val="202124"/>
                <w:sz w:val="18"/>
                <w:u w:val="none"/>
              </w:rPr>
              <w:t>2 août 2026</w:t>
            </w:r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 xml:space="preserve"> : informer les personnes (modèle 1), signaler les contenus générés.</w:t>
            </w:r>
          </w:p>
        </w:tc>
      </w:tr>
      <w:tr>
        <w:tc>
          <w:tcPr>
            <w:tcW w:type="dxa" w:w="204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/>
                <w:i w:val="0"/>
                <w:color w:val="202124"/>
                <w:sz w:val="18"/>
                <w:u w:val="none"/>
              </w:rPr>
              <w:t>Risque minimal</w:t>
            </w:r>
          </w:p>
        </w:tc>
        <w:tc>
          <w:tcPr>
            <w:tcW w:type="dxa" w:w="3628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>Agent interne de tri de documents, de préparation de devis, de relance validée</w:t>
            </w:r>
          </w:p>
        </w:tc>
        <w:tc>
          <w:tcPr>
            <w:tcW w:type="dxa" w:w="3969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8"/>
                <w:u w:val="none"/>
              </w:rPr>
              <w:t>Pas d'obligation propre ; bonnes pratiques : registre, journal (modèle 3), formation des utilisateurs (art. 4).</w:t>
            </w:r>
          </w:p>
        </w:tc>
      </w:tr>
    </w:tbl>
    <w:p>
      <w:pPr>
        <w:spacing w:before="0" w:after="0" w:line="16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top w:val="single" w:sz="12" w:space="8" w:color="202124"/>
        </w:pBdr>
        <w:keepNext/>
        <w:spacing w:before="320" w:after="160"/>
      </w:pPr>
      <w:r>
        <w:rPr>
          <w:rFonts w:ascii="Inter" w:hAnsi="Inter" w:cs="Inter" w:eastAsia="Inter"/>
          <w:b/>
          <w:i w:val="0"/>
          <w:color w:val="4285F4"/>
          <w:sz w:val="18"/>
          <w:u w:val="none"/>
          <w:spacing w:val="8"/>
        </w:rPr>
        <w:t xml:space="preserve">02  </w:t>
      </w:r>
      <w:r>
        <w:rPr>
          <w:rFonts w:ascii="Inter" w:hAnsi="Inter" w:cs="Inter" w:eastAsia="Inter"/>
          <w:b/>
          <w:i w:val="0"/>
          <w:color w:val="202124"/>
          <w:sz w:val="28"/>
          <w:u w:val="none"/>
        </w:rPr>
        <w:t>Registre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411" w:type="dxa"/>
      </w:tblPr>
      <w:tblGrid>
        <w:gridCol w:w="1191"/>
        <w:gridCol w:w="1417"/>
        <w:gridCol w:w="1644"/>
        <w:gridCol w:w="1474"/>
        <w:gridCol w:w="1417"/>
        <w:gridCol w:w="1361"/>
        <w:gridCol w:w="1134"/>
      </w:tblGrid>
      <w:tr>
        <w:tc>
          <w:tcPr>
            <w:tcW w:type="dxa" w:w="1191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5"/>
                <w:u w:val="none"/>
              </w:rPr>
              <w:t>Agent</w:t>
            </w:r>
          </w:p>
        </w:tc>
        <w:tc>
          <w:tcPr>
            <w:tcW w:type="dxa" w:w="1417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5"/>
                <w:u w:val="none"/>
              </w:rPr>
              <w:t>Mission</w:t>
            </w:r>
          </w:p>
        </w:tc>
        <w:tc>
          <w:tcPr>
            <w:tcW w:type="dxa" w:w="1644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5"/>
                <w:u w:val="none"/>
              </w:rPr>
              <w:t>Outils et données</w:t>
            </w:r>
          </w:p>
        </w:tc>
        <w:tc>
          <w:tcPr>
            <w:tcW w:type="dxa" w:w="1474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5"/>
                <w:u w:val="none"/>
              </w:rPr>
              <w:t>Niveau</w:t>
            </w:r>
          </w:p>
        </w:tc>
        <w:tc>
          <w:tcPr>
            <w:tcW w:type="dxa" w:w="1417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5"/>
                <w:u w:val="none"/>
              </w:rPr>
              <w:t>Validation humaine</w:t>
            </w:r>
          </w:p>
        </w:tc>
        <w:tc>
          <w:tcPr>
            <w:tcW w:type="dxa" w:w="1361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5"/>
                <w:u w:val="none"/>
              </w:rPr>
              <w:t>Responsable</w:t>
            </w:r>
          </w:p>
        </w:tc>
        <w:tc>
          <w:tcPr>
            <w:tcW w:type="dxa" w:w="1134"/>
            <w:tcBorders>
              <w:bottom w:val="single" w:sz="8" w:space="0" w:color="4285F4"/>
            </w:tcBorders>
            <w:shd w:val="clear" w:color="auto" w:fill="F1F3F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  <w:jc w:val="left"/>
            </w:pPr>
            <w:r>
              <w:rPr>
                <w:b/>
              </w:rPr>
            </w:r>
            <w:r>
              <w:rPr>
                <w:rFonts w:ascii="Inter" w:hAnsi="Inter" w:cs="Inter" w:eastAsia="Inter"/>
                <w:b w:val="0"/>
                <w:i w:val="0"/>
                <w:color w:val="202124"/>
                <w:sz w:val="15"/>
                <w:u w:val="none"/>
              </w:rPr>
              <w:t>Depuis</w:t>
            </w:r>
          </w:p>
        </w:tc>
      </w:tr>
      <w:tr>
        <w:tc>
          <w:tcPr>
            <w:tcW w:type="dxa" w:w="119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5"/>
                <w:u w:val="none"/>
              </w:rPr>
              <w:t>Exemple : agent de relance</w:t>
            </w:r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5"/>
                <w:u w:val="none"/>
              </w:rPr>
              <w:t>Relancer les factures échues</w:t>
            </w:r>
          </w:p>
        </w:tc>
        <w:tc>
          <w:tcPr>
            <w:tcW w:type="dxa" w:w="164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5"/>
                <w:u w:val="none"/>
              </w:rPr>
              <w:t>Logiciel de facturation (lecture), messagerie ; noms, montants</w:t>
            </w:r>
          </w:p>
        </w:tc>
        <w:tc>
          <w:tcPr>
            <w:tcW w:type="dxa" w:w="147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5"/>
                <w:u w:val="none"/>
              </w:rPr>
              <w:t>Transparence</w:t>
            </w:r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5"/>
                <w:u w:val="none"/>
              </w:rPr>
              <w:t>Mise en demeure et client stratégique</w:t>
            </w:r>
          </w:p>
        </w:tc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5"/>
                <w:u w:val="none"/>
              </w:rPr>
              <w:t>Dirigeant</w:t>
            </w:r>
          </w:p>
        </w:tc>
        <w:tc>
          <w:tcPr>
            <w:tcW w:type="dxa" w:w="113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  <w:r>
              <w:rPr>
                <w:rFonts w:ascii="Inter" w:hAnsi="Inter" w:cs="Inter" w:eastAsia="Inter"/>
                <w:b w:val="0"/>
                <w:i w:val="0"/>
                <w:color w:val="3C4043"/>
                <w:sz w:val="15"/>
                <w:u w:val="none"/>
              </w:rPr>
              <w:t>01/10/2026</w:t>
            </w:r>
          </w:p>
        </w:tc>
      </w:tr>
      <w:tr>
        <w:tc>
          <w:tcPr>
            <w:tcW w:type="dxa" w:w="119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64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7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13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19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64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7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13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19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64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7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13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19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64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7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13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  <w:tr>
        <w:tc>
          <w:tcPr>
            <w:tcW w:type="dxa" w:w="119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64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7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417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361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  <w:tc>
          <w:tcPr>
            <w:tcW w:type="dxa" w:w="1134"/>
            <w:tcBorders>
              <w:bottom w:val="single" w:sz="4" w:space="0" w:color="E3E6EA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300" w:lineRule="auto"/>
              <w:jc w:val="left"/>
            </w:pPr>
            <w:r/>
          </w:p>
        </w:tc>
      </w:tr>
    </w:tbl>
    <w:p>
      <w:pPr>
        <w:spacing w:before="0" w:after="0" w:line="16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p>
      <w:pPr>
        <w:pBdr>
          <w:top w:val="single" w:sz="12" w:space="8" w:color="202124"/>
        </w:pBdr>
        <w:keepNext/>
        <w:spacing w:before="320" w:after="160"/>
      </w:pPr>
      <w:r>
        <w:rPr>
          <w:rFonts w:ascii="Inter" w:hAnsi="Inter" w:cs="Inter" w:eastAsia="Inter"/>
          <w:b/>
          <w:i w:val="0"/>
          <w:color w:val="4285F4"/>
          <w:sz w:val="18"/>
          <w:u w:val="none"/>
          <w:spacing w:val="8"/>
        </w:rPr>
        <w:t xml:space="preserve">03  </w:t>
      </w:r>
      <w:r>
        <w:rPr>
          <w:rFonts w:ascii="Inter" w:hAnsi="Inter" w:cs="Inter" w:eastAsia="Inter"/>
          <w:b/>
          <w:i w:val="0"/>
          <w:color w:val="202124"/>
          <w:sz w:val="28"/>
          <w:u w:val="none"/>
        </w:rPr>
        <w:t>Pour chaque agent, garder à côté du registre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La notice de transparence datée (modèle 1), si l'agent échange avec des personnes.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Le journal des décisions (modèle 3) et sa durée de conservation.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La liste des accès accordés à l'agent (outils, comptes, droits en lecture ou en écriture).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Le moyen d'arrêter l'agent immédiatement et la personne qui peut le faire.</w:t>
      </w:r>
    </w:p>
    <w:p>
      <w:pPr>
        <w:tabs>
          <w:tab w:pos="340" w:val="left"/>
        </w:tabs>
        <w:spacing w:before="0" w:after="80" w:line="312" w:lineRule="auto"/>
        <w:ind w:left="340" w:hanging="340"/>
      </w:pPr>
      <w:r>
        <w:rPr>
          <w:rFonts w:ascii="Inter" w:hAnsi="Inter" w:cs="Inter" w:eastAsia="Inter"/>
          <w:b w:val="0"/>
          <w:i w:val="0"/>
          <w:color w:val="5F6368"/>
          <w:sz w:val="14"/>
          <w:u w:val="none"/>
        </w:rPr>
        <w:t>●</w:t>
      </w:r>
      <w:r>
        <w:tab/>
      </w:r>
      <w:r>
        <w:rPr>
          <w:rFonts w:ascii="Inter" w:hAnsi="Inter" w:cs="Inter" w:eastAsia="Inter"/>
          <w:b w:val="0"/>
          <w:i w:val="0"/>
          <w:color w:val="5F6368"/>
          <w:sz w:val="21"/>
          <w:u w:val="none"/>
        </w:rPr>
        <w:t>Les attestations de formation des personnes qui l'utilisent ou le supervisent (art. 4).</w:t>
      </w:r>
    </w:p>
    <w:p>
      <w:pPr>
        <w:spacing w:before="0" w:after="0" w:line="8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411" w:type="dxa"/>
      </w:tblPr>
      <w:tblGrid>
        <w:gridCol w:w="9412"/>
      </w:tblGrid>
      <w:tr>
        <w:tc>
          <w:tcPr>
            <w:tcW w:type="dxa" w:w="9411"/>
            <w:tcBorders>
              <w:top w:val="single" w:sz="4" w:space="0" w:color="E3E6EA"/>
              <w:left w:val="single" w:sz="24" w:space="0" w:color="FBBC05"/>
              <w:bottom w:val="single" w:sz="4" w:space="0" w:color="E3E6EA"/>
              <w:right w:val="single" w:sz="4" w:space="0" w:color="E3E6EA"/>
            </w:tcBorders>
            <w:shd w:val="clear" w:color="auto" w:fill="FEF7E0"/>
            <w:tcMar>
              <w:top w:w="200" w:type="dxa"/>
              <w:start w:w="280" w:type="dxa"/>
              <w:bottom w:w="200" w:type="dxa"/>
              <w:end w:w="280" w:type="dxa"/>
            </w:tcMar>
            <w:vAlign w:val="top"/>
          </w:tcPr>
          <w:p>
            <w:pPr>
              <w:spacing w:after="100" w:line="264" w:lineRule="auto"/>
            </w:pPr>
            <w:r/>
            <w:r>
              <w:rPr>
                <w:rFonts w:ascii="Inter" w:hAnsi="Inter" w:cs="Inter" w:eastAsia="Inter"/>
                <w:b/>
                <w:i w:val="0"/>
                <w:color w:val="FBBC05"/>
                <w:sz w:val="16"/>
                <w:u w:val="none"/>
                <w:spacing w:val="14"/>
              </w:rPr>
              <w:t>LIMITE DE CE MODÈLE</w:t>
            </w:r>
          </w:p>
          <w:p>
            <w:pPr>
              <w:spacing w:after="0" w:line="348" w:lineRule="auto"/>
            </w:pPr>
            <w:r>
              <w:rPr>
                <w:rFonts w:ascii="Inter" w:hAnsi="Inter" w:cs="Inter" w:eastAsia="Inter"/>
                <w:b w:val="0"/>
                <w:i w:val="0"/>
                <w:color w:val="3C4043"/>
                <w:sz w:val="21"/>
                <w:u w:val="none"/>
              </w:rPr>
              <w:t>La classification proposée ici est une aide de premier niveau. Un agent qui touche au recrutement, à l'évaluation de salariés ou au crédit doit être analysé au cas par cas.</w:t>
            </w:r>
          </w:p>
        </w:tc>
      </w:tr>
    </w:tbl>
    <w:p>
      <w:pPr>
        <w:spacing w:before="0" w:after="0" w:line="160" w:lineRule="exact"/>
      </w:pPr>
      <w:r>
        <w:rPr>
          <w:rFonts w:ascii="Inter" w:hAnsi="Inter" w:cs="Inter" w:eastAsia="Inter"/>
          <w:b w:val="0"/>
          <w:i w:val="0"/>
          <w:color w:val="3C4043"/>
          <w:sz w:val="4"/>
          <w:u w:val="none"/>
        </w:rPr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1134" w:right="1247" w:bottom="907" w:left="1247" w:header="624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6" w:color="E3E6EA"/>
      </w:pBdr>
      <w:pStyle w:val="Footer"/>
      <w:tabs>
        <w:tab w:pos="4705" w:val="center"/>
        <w:tab w:pos="9411" w:val="right"/>
      </w:tabs>
    </w:pPr>
    <w:r/>
    <w:r>
      <w:rPr>
        <w:rFonts w:ascii="Inter" w:hAnsi="Inter" w:cs="Inter" w:eastAsia="Inter"/>
        <w:b w:val="0"/>
        <w:i w:val="0"/>
        <w:color w:val="80868B"/>
        <w:sz w:val="15"/>
        <w:u w:val="none"/>
        <w:spacing w:val="10"/>
      </w:rPr>
      <w:t>MODÈLE INDICATIF · EMPLOYE-IA.FR</w:t>
    </w:r>
    <w:r>
      <w:tab/>
    </w:r>
    <w:r>
      <w:rPr>
        <w:rFonts w:ascii="Inter" w:hAnsi="Inter" w:cs="Inter" w:eastAsia="Inter"/>
        <w:b w:val="0"/>
        <w:i w:val="0"/>
        <w:color w:val="4285F4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34A853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FBBC05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EA4335"/>
        <w:sz w:val="15"/>
        <w:u w:val="none"/>
      </w:rPr>
      <w:t xml:space="preserve">✦ </w:t>
    </w:r>
    <w:r>
      <w:tab/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begin"/>
    </w:r>
    <w:r>
      <w:rPr>
        <w:rFonts w:ascii="Inter" w:hAnsi="Inter" w:cs="Inter"/>
        <w:rFonts w:ascii="Inter" w:hAnsi="Inter"/>
        <w:b w:val="0"/>
        <w:color w:val="80868B"/>
        <w:sz w:val="15"/>
      </w:rPr>
      <w:instrText xml:space="preserve"> PAGE \# "00" </w:instrText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end"/>
    </w:r>
    <w:r>
      <w:rPr>
        <w:rFonts w:ascii="Inter" w:hAnsi="Inter" w:cs="Inter" w:eastAsia="Inter"/>
        <w:b w:val="0"/>
        <w:i w:val="0"/>
        <w:color w:val="80868B"/>
        <w:sz w:val="15"/>
        <w:u w:val="none"/>
      </w:rPr>
      <w:t xml:space="preserve"> / </w:t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begin"/>
    </w:r>
    <w:r>
      <w:rPr>
        <w:rFonts w:ascii="Inter" w:hAnsi="Inter" w:cs="Inter"/>
        <w:rFonts w:ascii="Inter" w:hAnsi="Inter"/>
        <w:b w:val="0"/>
        <w:color w:val="80868B"/>
        <w:sz w:val="15"/>
      </w:rPr>
      <w:instrText xml:space="preserve"> NUMPAGES \# "00" </w:instrText>
    </w:r>
    <w:r>
      <w:rPr>
        <w:rFonts w:ascii="Inter" w:hAnsi="Inter" w:cs="Inter"/>
        <w:rFonts w:ascii="Inter" w:hAnsi="Inter"/>
        <w:b w:val="0"/>
        <w:color w:val="80868B"/>
        <w:sz w:val="15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6" w:color="E3E6EA"/>
      </w:pBdr>
      <w:pStyle w:val="Header"/>
      <w:tabs>
        <w:tab w:pos="9411" w:val="right"/>
      </w:tabs>
    </w:pPr>
    <w:r/>
    <w:r>
      <w:rPr>
        <w:rFonts w:ascii="Inter" w:hAnsi="Inter" w:cs="Inter" w:eastAsia="Inter"/>
        <w:b/>
        <w:i w:val="0"/>
        <w:color w:val="80868B"/>
        <w:sz w:val="15"/>
        <w:u w:val="none"/>
        <w:spacing w:val="12"/>
      </w:rPr>
      <w:t>REGISTRE DES AGENTS IA</w:t>
    </w:r>
    <w:r>
      <w:tab/>
    </w:r>
    <w:r>
      <w:rPr>
        <w:rFonts w:ascii="Inter" w:hAnsi="Inter" w:cs="Inter" w:eastAsia="Inter"/>
        <w:b/>
        <w:i w:val="0"/>
        <w:color w:val="80868B"/>
        <w:sz w:val="15"/>
        <w:u w:val="none"/>
        <w:spacing w:val="12"/>
      </w:rPr>
      <w:t>INVENTAIRE ET CLASSIFICATION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</w:pPr>
    <w:r/>
    <w:r>
      <w:rPr>
        <w:rFonts w:ascii="Inter" w:hAnsi="Inter" w:cs="Inter" w:eastAsia="Inter"/>
        <w:b/>
        <w:i w:val="0"/>
        <w:color w:val="80868B"/>
        <w:sz w:val="15"/>
        <w:u w:val="none"/>
        <w:spacing w:val="12"/>
      </w:rPr>
      <w:t>KIT CONFORMITÉ AGENT IA · MODÈLE 2</w:t>
    </w:r>
    <w:r>
      <w:tab/>
    </w:r>
    <w:r>
      <w:rPr>
        <w:rFonts w:ascii="Inter" w:hAnsi="Inter" w:cs="Inter" w:eastAsia="Inter"/>
        <w:b w:val="0"/>
        <w:i w:val="0"/>
        <w:color w:val="4285F4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34A853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FBBC05"/>
        <w:sz w:val="15"/>
        <w:u w:val="none"/>
      </w:rPr>
      <w:t xml:space="preserve">✦ </w:t>
    </w:r>
    <w:r>
      <w:rPr>
        <w:rFonts w:ascii="Inter" w:hAnsi="Inter" w:cs="Inter" w:eastAsia="Inter"/>
        <w:b w:val="0"/>
        <w:i w:val="0"/>
        <w:color w:val="EA4335"/>
        <w:sz w:val="15"/>
        <w:u w:val="none"/>
      </w:rPr>
      <w:t xml:space="preserve">✦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 w:cs="Inter" w:eastAsia="Inter"/>
      <w:color w:val="3C40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